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041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04139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406"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Taylor Bruce C.</w:t>
              </w:r>
            </w:hyperlink>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Mission Produce,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AVO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8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Borders>
              <w:bottom w:val="single" w:sz="8" w:color="0000EE"/>
            </w:tcBorders>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20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18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MISSION PRODUCE, INC.</w:t>
            </w:r>
          </w:p>
        </w:tc>
        <w:tc>
          <w:tcPr>
            <w:tcW w:w="1260" w:type="dxa"/>
            <w:vAlign w:val="bottom"/>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18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2710 CAMINO DEL SOL</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8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406"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OXNARD</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93030</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406"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40" w:type="dxa"/>
            <w:vAlign w:val="bottom"/>
            <w:tcBorders>
              <w:top w:val="single" w:sz="8" w:color="2C2C2C"/>
            </w:tcBorders>
          </w:tcPr>
          <w:p>
            <w:pPr>
              <w:spacing w:after="0"/>
              <w:rPr>
                <w:sz w:val="7"/>
                <w:szCs w:val="7"/>
                <w:color w:val="auto"/>
              </w:rPr>
            </w:pPr>
          </w:p>
        </w:tc>
        <w:tc>
          <w:tcPr>
            <w:tcW w:w="104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80" w:type="dxa"/>
            <w:vAlign w:val="bottom"/>
            <w:tcBorders>
              <w:bottom w:val="single" w:sz="8" w:color="2C2C2C"/>
            </w:tcBorders>
          </w:tcPr>
          <w:p>
            <w:pPr>
              <w:spacing w:after="0"/>
              <w:rPr>
                <w:sz w:val="15"/>
                <w:szCs w:val="15"/>
                <w:color w:val="auto"/>
              </w:rPr>
            </w:pPr>
          </w:p>
        </w:tc>
        <w:tc>
          <w:tcPr>
            <w:tcW w:w="166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74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2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06/12/2026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Pr>
          <w:p>
            <w:pPr>
              <w:jc w:val="right"/>
              <w:ind w:right="71"/>
              <w:spacing w:after="0"/>
              <w:rPr>
                <w:sz w:val="20"/>
                <w:szCs w:val="20"/>
                <w:color w:val="auto"/>
              </w:rPr>
            </w:pPr>
            <w:r>
              <w:rPr>
                <w:rFonts w:ascii="Times New Roman" w:cs="Times New Roman" w:eastAsia="Times New Roman" w:hAnsi="Times New Roman"/>
                <w:sz w:val="17"/>
                <w:szCs w:val="17"/>
                <w:color w:val="0000FF"/>
              </w:rPr>
              <w:t>10,000</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11.14</w:t>
            </w:r>
          </w:p>
        </w:tc>
        <w:tc>
          <w:tcPr>
            <w:tcW w:w="104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0000FF"/>
              </w:rPr>
              <w:t>755,505</w:t>
            </w:r>
          </w:p>
        </w:tc>
        <w:tc>
          <w:tcPr>
            <w:tcW w:w="96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3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Taylor</w:t>
            </w:r>
          </w:p>
        </w:tc>
        <w:tc>
          <w:tcPr>
            <w:tcW w:w="0" w:type="dxa"/>
            <w:vAlign w:val="bottom"/>
          </w:tcPr>
          <w:p>
            <w:pPr>
              <w:spacing w:after="0"/>
              <w:rPr>
                <w:sz w:val="1"/>
                <w:szCs w:val="1"/>
                <w:color w:val="auto"/>
              </w:rPr>
            </w:pPr>
          </w:p>
        </w:tc>
      </w:tr>
      <w:tr>
        <w:trPr>
          <w:trHeight w:val="241"/>
        </w:trPr>
        <w:tc>
          <w:tcPr>
            <w:tcW w:w="2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06/12/2026</w:t>
            </w:r>
          </w:p>
        </w:tc>
        <w:tc>
          <w:tcPr>
            <w:tcW w:w="1140" w:type="dxa"/>
            <w:vAlign w:val="bottom"/>
          </w:tcPr>
          <w:p>
            <w:pPr>
              <w:spacing w:after="0"/>
              <w:rPr>
                <w:sz w:val="20"/>
                <w:szCs w:val="20"/>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7"/>
                <w:szCs w:val="17"/>
                <w:color w:val="0000FF"/>
              </w:rPr>
              <w:t>155,842</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tcPr>
          <w:p>
            <w:pPr>
              <w:jc w:val="center"/>
              <w:spacing w:after="0" w:line="241"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11.16</w:t>
            </w:r>
            <w:r>
              <w:rPr>
                <w:rFonts w:ascii="Times New Roman" w:cs="Times New Roman" w:eastAsia="Times New Roman" w:hAnsi="Times New Roman"/>
                <w:sz w:val="22"/>
                <w:szCs w:val="22"/>
                <w:color w:val="008000"/>
                <w:vertAlign w:val="superscript"/>
              </w:rPr>
              <w:t>(1)</w:t>
            </w:r>
          </w:p>
        </w:tc>
        <w:tc>
          <w:tcPr>
            <w:tcW w:w="104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0000FF"/>
              </w:rPr>
              <w:t>155,842</w:t>
            </w:r>
          </w:p>
        </w:tc>
        <w:tc>
          <w:tcPr>
            <w:tcW w:w="9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Fresh</w:t>
            </w:r>
          </w:p>
        </w:tc>
        <w:tc>
          <w:tcPr>
            <w:tcW w:w="0" w:type="dxa"/>
            <w:vAlign w:val="bottom"/>
          </w:tcPr>
          <w:p>
            <w:pPr>
              <w:spacing w:after="0"/>
              <w:rPr>
                <w:sz w:val="1"/>
                <w:szCs w:val="1"/>
                <w:color w:val="auto"/>
              </w:rPr>
            </w:pPr>
          </w:p>
        </w:tc>
      </w:tr>
      <w:tr>
        <w:trPr>
          <w:trHeight w:val="182"/>
        </w:trPr>
        <w:tc>
          <w:tcPr>
            <w:tcW w:w="23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ind w:left="80"/>
              <w:spacing w:after="0" w:line="182" w:lineRule="exact"/>
              <w:rPr>
                <w:sz w:val="20"/>
                <w:szCs w:val="20"/>
                <w:color w:val="auto"/>
              </w:rPr>
            </w:pPr>
            <w:r>
              <w:rPr>
                <w:rFonts w:ascii="Times New Roman" w:cs="Times New Roman" w:eastAsia="Times New Roman" w:hAnsi="Times New Roman"/>
                <w:sz w:val="17"/>
                <w:szCs w:val="17"/>
                <w:color w:val="0000FF"/>
              </w:rPr>
              <w:t>Foods, Inc.</w:t>
            </w:r>
          </w:p>
        </w:tc>
        <w:tc>
          <w:tcPr>
            <w:tcW w:w="0" w:type="dxa"/>
            <w:vAlign w:val="bottom"/>
          </w:tcPr>
          <w:p>
            <w:pPr>
              <w:spacing w:after="0"/>
              <w:rPr>
                <w:sz w:val="1"/>
                <w:szCs w:val="1"/>
                <w:color w:val="auto"/>
              </w:rPr>
            </w:pPr>
          </w:p>
        </w:tc>
      </w:tr>
      <w:tr>
        <w:trPr>
          <w:trHeight w:val="143"/>
        </w:trPr>
        <w:tc>
          <w:tcPr>
            <w:tcW w:w="23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(2)</w:t>
            </w:r>
          </w:p>
        </w:tc>
        <w:tc>
          <w:tcPr>
            <w:tcW w:w="0" w:type="dxa"/>
            <w:vAlign w:val="bottom"/>
          </w:tcPr>
          <w:p>
            <w:pPr>
              <w:spacing w:after="0"/>
              <w:rPr>
                <w:sz w:val="1"/>
                <w:szCs w:val="1"/>
                <w:color w:val="auto"/>
              </w:rPr>
            </w:pPr>
          </w:p>
        </w:tc>
      </w:tr>
      <w:tr>
        <w:trPr>
          <w:trHeight w:val="81"/>
        </w:trPr>
        <w:tc>
          <w:tcPr>
            <w:tcW w:w="238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Taylor</w:t>
            </w:r>
          </w:p>
        </w:tc>
        <w:tc>
          <w:tcPr>
            <w:tcW w:w="0" w:type="dxa"/>
            <w:vAlign w:val="bottom"/>
          </w:tcPr>
          <w:p>
            <w:pPr>
              <w:spacing w:after="0"/>
              <w:rPr>
                <w:sz w:val="1"/>
                <w:szCs w:val="1"/>
                <w:color w:val="auto"/>
              </w:rPr>
            </w:pPr>
          </w:p>
        </w:tc>
      </w:tr>
      <w:tr>
        <w:trPr>
          <w:trHeight w:val="213"/>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COMMON_STOCK</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vMerge w:val="restart"/>
          </w:tcPr>
          <w:p>
            <w:pPr>
              <w:jc w:val="center"/>
              <w:ind w:left="14"/>
              <w:spacing w:after="0"/>
              <w:rPr>
                <w:sz w:val="20"/>
                <w:szCs w:val="20"/>
                <w:color w:val="auto"/>
              </w:rPr>
            </w:pPr>
            <w:r>
              <w:rPr>
                <w:rFonts w:ascii="Times New Roman" w:cs="Times New Roman" w:eastAsia="Times New Roman" w:hAnsi="Times New Roman"/>
                <w:sz w:val="17"/>
                <w:szCs w:val="17"/>
                <w:color w:val="0000FF"/>
                <w:w w:val="99"/>
              </w:rPr>
              <w:t>5,180,193</w:t>
            </w:r>
          </w:p>
        </w:tc>
        <w:tc>
          <w:tcPr>
            <w:tcW w:w="9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380" w:type="dxa"/>
            <w:vAlign w:val="bottom"/>
            <w:vMerge w:val="continue"/>
          </w:tcPr>
          <w:p>
            <w:pPr>
              <w:spacing w:after="0"/>
              <w:rPr>
                <w:sz w:val="10"/>
                <w:szCs w:val="10"/>
                <w:color w:val="auto"/>
              </w:rPr>
            </w:pPr>
          </w:p>
        </w:tc>
        <w:tc>
          <w:tcPr>
            <w:tcW w:w="1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07"/>
        </w:trPr>
        <w:tc>
          <w:tcPr>
            <w:tcW w:w="23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6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060"/>
        <w:spacing w:after="0" w:line="185" w:lineRule="auto"/>
        <w:rPr>
          <w:sz w:val="20"/>
          <w:szCs w:val="20"/>
          <w:color w:val="auto"/>
        </w:rPr>
      </w:pPr>
      <w:r>
        <w:rPr>
          <w:rFonts w:ascii="Times New Roman" w:cs="Times New Roman" w:eastAsia="Times New Roman" w:hAnsi="Times New Roman"/>
          <w:sz w:val="24"/>
          <w:szCs w:val="24"/>
          <w:color w:val="0000FF"/>
          <w:vertAlign w:val="subscript"/>
        </w:rPr>
        <w:t>LLC</w:t>
      </w:r>
      <w:r>
        <w:rPr>
          <w:rFonts w:ascii="Times New Roman" w:cs="Times New Roman" w:eastAsia="Times New Roman" w:hAnsi="Times New Roman"/>
          <w:sz w:val="10"/>
          <w:szCs w:val="10"/>
          <w:color w:val="008000"/>
        </w:rPr>
        <w:t>(3)</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the average weighted price. The shares were purchased in multiple transactions at prices ranging from $11.15 to $11.17, inclusive. The reporting person undertakes to provide to the SEC, the Issuer and any security holder, the full information regarding the number of shares and the prices at which the shares were purchased.</w:t>
      </w:r>
    </w:p>
    <w:p>
      <w:pPr>
        <w:spacing w:after="0" w:line="7" w:lineRule="exact"/>
        <w:rPr>
          <w:rFonts w:ascii="Times New Roman" w:cs="Times New Roman" w:eastAsia="Times New Roman" w:hAnsi="Times New Roman"/>
          <w:sz w:val="13"/>
          <w:szCs w:val="13"/>
          <w:color w:val="008000"/>
        </w:rPr>
      </w:pPr>
    </w:p>
    <w:p>
      <w:pPr>
        <w:ind w:left="40" w:right="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Taylor Fresh Foods, Inc. Mr. Taylor has sole voting and dispositive power, but disclaims beneficial ownership except to the extent of his pecuniary interest therein. Taylor Fresh Foods, Inc. is not deemed to own the shares held by Mr. Taylor.</w:t>
      </w:r>
    </w:p>
    <w:p>
      <w:pPr>
        <w:spacing w:after="0" w:line="7" w:lineRule="exact"/>
        <w:rPr>
          <w:rFonts w:ascii="Times New Roman" w:cs="Times New Roman" w:eastAsia="Times New Roman" w:hAnsi="Times New Roman"/>
          <w:sz w:val="13"/>
          <w:szCs w:val="13"/>
          <w:color w:val="008000"/>
        </w:rPr>
      </w:pPr>
    </w:p>
    <w:p>
      <w:pPr>
        <w:ind w:left="40" w:right="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Taylor Family Investments LLC. Mr. Taylor has sole voting and dispositive power, but disclaims beneficial ownership except to the extent of his pecuniary interest therein. Taylor Family Investments is not deemed to own the shares held by Mr. Taylor.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Joanne Wu, Attorney-in-</w:t>
            </w:r>
          </w:p>
        </w:tc>
        <w:tc>
          <w:tcPr>
            <w:tcW w:w="1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Bruce C. Taylor</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40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59350" TargetMode="External"/><Relationship Id="rId14" Type="http://schemas.openxmlformats.org/officeDocument/2006/relationships/hyperlink" Target="http://www.sec.gov/cgi-bin/browse-edgar?action=getcompany&amp;CIK=00018029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2026-06-15T16:08:51Z</dcterms:created>
  <dcterms:modified xsi:type="dcterms:W3CDTF">2026-06-15T16:08:51Z</dcterms:modified>
</cp:coreProperties>
</file>