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794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7945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Pack Jay A</w:t>
              </w:r>
            </w:hyperlink>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Mission Produce,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AVO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Borders>
              <w:bottom w:val="single" w:sz="8" w:color="0000EE"/>
            </w:tcBorders>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12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0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8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MISSION PRODUCE, INC.</w:t>
            </w:r>
          </w:p>
        </w:tc>
        <w:tc>
          <w:tcPr>
            <w:tcW w:w="12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18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2710 CAMINO DEL SOL</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OXNARD</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93030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6.</w:t>
            </w:r>
          </w:p>
        </w:tc>
        <w:tc>
          <w:tcPr>
            <w:tcW w:w="14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48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1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48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2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Price</w:t>
            </w:r>
          </w:p>
        </w:tc>
        <w:tc>
          <w:tcPr>
            <w:tcW w:w="10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2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2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110,719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11.34</w:t>
            </w:r>
            <w:r>
              <w:rPr>
                <w:rFonts w:ascii="Times New Roman" w:cs="Times New Roman" w:eastAsia="Times New Roman" w:hAnsi="Times New Roman"/>
                <w:sz w:val="22"/>
                <w:szCs w:val="22"/>
                <w:color w:val="008000"/>
                <w:vertAlign w:val="superscript"/>
              </w:rPr>
              <w:t>(1)</w:t>
            </w:r>
          </w:p>
        </w:tc>
        <w:tc>
          <w:tcPr>
            <w:tcW w:w="102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rPr>
              <w:t>539,965</w:t>
            </w:r>
          </w:p>
        </w:tc>
        <w:tc>
          <w:tcPr>
            <w:tcW w:w="9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14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2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right"/>
              <w:ind w:right="51"/>
              <w:spacing w:after="0"/>
              <w:rPr>
                <w:sz w:val="20"/>
                <w:szCs w:val="20"/>
                <w:color w:val="auto"/>
              </w:rPr>
            </w:pPr>
            <w:r>
              <w:rPr>
                <w:rFonts w:ascii="Times New Roman" w:cs="Times New Roman" w:eastAsia="Times New Roman" w:hAnsi="Times New Roman"/>
                <w:sz w:val="17"/>
                <w:szCs w:val="17"/>
                <w:color w:val="0000FF"/>
              </w:rPr>
              <w:t>77,831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11.34</w:t>
            </w:r>
            <w:r>
              <w:rPr>
                <w:rFonts w:ascii="Times New Roman" w:cs="Times New Roman" w:eastAsia="Times New Roman" w:hAnsi="Times New Roman"/>
                <w:sz w:val="22"/>
                <w:szCs w:val="22"/>
                <w:color w:val="008000"/>
                <w:vertAlign w:val="superscript"/>
              </w:rPr>
              <w:t>(1)</w:t>
            </w:r>
          </w:p>
        </w:tc>
        <w:tc>
          <w:tcPr>
            <w:tcW w:w="102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w w:val="98"/>
              </w:rPr>
              <w:t>90,000</w:t>
            </w:r>
          </w:p>
        </w:tc>
        <w:tc>
          <w:tcPr>
            <w:tcW w:w="9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PFP</w:t>
            </w:r>
          </w:p>
        </w:tc>
        <w:tc>
          <w:tcPr>
            <w:tcW w:w="0" w:type="dxa"/>
            <w:vAlign w:val="bottom"/>
          </w:tcPr>
          <w:p>
            <w:pPr>
              <w:spacing w:after="0"/>
              <w:rPr>
                <w:sz w:val="1"/>
                <w:szCs w:val="1"/>
                <w:color w:val="auto"/>
              </w:rPr>
            </w:pPr>
          </w:p>
        </w:tc>
      </w:tr>
      <w:tr>
        <w:trPr>
          <w:trHeight w:val="213"/>
        </w:trPr>
        <w:tc>
          <w:tcPr>
            <w:tcW w:w="22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rPr>
              <w:t>1,015,160</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LTD</w:t>
            </w:r>
            <w:r>
              <w:rPr>
                <w:rFonts w:ascii="Times New Roman" w:cs="Times New Roman" w:eastAsia="Times New Roman" w:hAnsi="Times New Roman"/>
                <w:sz w:val="11"/>
                <w:szCs w:val="11"/>
                <w:color w:val="008000"/>
              </w:rPr>
              <w:t>(2)</w:t>
            </w: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JAY PACK AS</w:t>
            </w:r>
          </w:p>
        </w:tc>
        <w:tc>
          <w:tcPr>
            <w:tcW w:w="0" w:type="dxa"/>
            <w:vAlign w:val="bottom"/>
          </w:tcPr>
          <w:p>
            <w:pPr>
              <w:spacing w:after="0"/>
              <w:rPr>
                <w:sz w:val="1"/>
                <w:szCs w:val="1"/>
                <w:color w:val="auto"/>
              </w:rPr>
            </w:pPr>
          </w:p>
        </w:tc>
      </w:tr>
      <w:tr>
        <w:trPr>
          <w:trHeight w:val="21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123,136</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TO</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THE JP 2018</w:t>
            </w:r>
          </w:p>
        </w:tc>
        <w:tc>
          <w:tcPr>
            <w:tcW w:w="0" w:type="dxa"/>
            <w:vAlign w:val="bottom"/>
          </w:tcPr>
          <w:p>
            <w:pPr>
              <w:spacing w:after="0"/>
              <w:rPr>
                <w:sz w:val="1"/>
                <w:szCs w:val="1"/>
                <w:color w:val="auto"/>
              </w:rPr>
            </w:pPr>
          </w:p>
        </w:tc>
      </w:tr>
      <w:tr>
        <w:trPr>
          <w:trHeight w:val="93"/>
        </w:trPr>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GRAT</w:t>
            </w:r>
          </w:p>
        </w:tc>
        <w:tc>
          <w:tcPr>
            <w:tcW w:w="0" w:type="dxa"/>
            <w:vAlign w:val="bottom"/>
          </w:tcPr>
          <w:p>
            <w:pPr>
              <w:spacing w:after="0"/>
              <w:rPr>
                <w:sz w:val="1"/>
                <w:szCs w:val="1"/>
                <w:color w:val="auto"/>
              </w:rPr>
            </w:pPr>
          </w:p>
        </w:tc>
      </w:tr>
      <w:tr>
        <w:trPr>
          <w:trHeight w:val="61"/>
        </w:trPr>
        <w:tc>
          <w:tcPr>
            <w:tcW w:w="220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JAY PACK AS</w:t>
            </w:r>
          </w:p>
        </w:tc>
        <w:tc>
          <w:tcPr>
            <w:tcW w:w="0" w:type="dxa"/>
            <w:vAlign w:val="bottom"/>
          </w:tcPr>
          <w:p>
            <w:pPr>
              <w:spacing w:after="0"/>
              <w:rPr>
                <w:sz w:val="1"/>
                <w:szCs w:val="1"/>
                <w:color w:val="auto"/>
              </w:rPr>
            </w:pPr>
          </w:p>
        </w:tc>
      </w:tr>
      <w:tr>
        <w:trPr>
          <w:trHeight w:val="213"/>
        </w:trPr>
        <w:tc>
          <w:tcPr>
            <w:tcW w:w="22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vMerge w:val="restart"/>
          </w:tcPr>
          <w:p>
            <w:pPr>
              <w:jc w:val="center"/>
              <w:ind w:left="10"/>
              <w:spacing w:after="0"/>
              <w:rPr>
                <w:sz w:val="20"/>
                <w:szCs w:val="20"/>
                <w:color w:val="auto"/>
              </w:rPr>
            </w:pPr>
            <w:r>
              <w:rPr>
                <w:rFonts w:ascii="Times New Roman" w:cs="Times New Roman" w:eastAsia="Times New Roman" w:hAnsi="Times New Roman"/>
                <w:sz w:val="17"/>
                <w:szCs w:val="17"/>
                <w:color w:val="0000FF"/>
              </w:rPr>
              <w:t>123,136</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4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TRUSTEE TO</w:t>
            </w:r>
          </w:p>
        </w:tc>
        <w:tc>
          <w:tcPr>
            <w:tcW w:w="0" w:type="dxa"/>
            <w:vAlign w:val="bottom"/>
          </w:tcPr>
          <w:p>
            <w:pPr>
              <w:spacing w:after="0"/>
              <w:rPr>
                <w:sz w:val="1"/>
                <w:szCs w:val="1"/>
                <w:color w:val="auto"/>
              </w:rPr>
            </w:pPr>
          </w:p>
        </w:tc>
      </w:tr>
      <w:tr>
        <w:trPr>
          <w:trHeight w:val="120"/>
        </w:trPr>
        <w:tc>
          <w:tcPr>
            <w:tcW w:w="220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THE RP 2018</w:t>
            </w:r>
          </w:p>
        </w:tc>
        <w:tc>
          <w:tcPr>
            <w:tcW w:w="0" w:type="dxa"/>
            <w:vAlign w:val="bottom"/>
          </w:tcPr>
          <w:p>
            <w:pPr>
              <w:spacing w:after="0"/>
              <w:rPr>
                <w:sz w:val="1"/>
                <w:szCs w:val="1"/>
                <w:color w:val="auto"/>
              </w:rPr>
            </w:pPr>
          </w:p>
        </w:tc>
      </w:tr>
      <w:tr>
        <w:trPr>
          <w:trHeight w:val="107"/>
        </w:trPr>
        <w:tc>
          <w:tcPr>
            <w:tcW w:w="2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640"/>
        <w:spacing w:after="0"/>
        <w:rPr>
          <w:sz w:val="20"/>
          <w:szCs w:val="20"/>
          <w:color w:val="auto"/>
        </w:rPr>
      </w:pPr>
      <w:r>
        <w:rPr>
          <w:rFonts w:ascii="Times New Roman" w:cs="Times New Roman" w:eastAsia="Times New Roman" w:hAnsi="Times New Roman"/>
          <w:sz w:val="17"/>
          <w:szCs w:val="17"/>
          <w:color w:val="0000FF"/>
        </w:rPr>
        <w:t>GRAT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the average weighted price. The shares were purchased in multiple transactions at prices ranging from $11.28 to $11.35, inclusive. The reporting person undertakes to provide to the SEC, the Issuer and any security holder, the full information regarding the number of shares and the prices at which the shares were purchased.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Power to vote and dispose of the shares held by PFP Investments, Ltd. is shared with the reporting person's spouse.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Joanne C. Wu, Attorney-in- </w:t>
      </w:r>
      <w:r>
        <w:rPr>
          <w:rFonts w:ascii="Times New Roman" w:cs="Times New Roman" w:eastAsia="Times New Roman" w:hAnsi="Times New Roman"/>
          <w:sz w:val="34"/>
          <w:szCs w:val="34"/>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Jay A.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94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5879" TargetMode="External"/><Relationship Id="rId14" Type="http://schemas.openxmlformats.org/officeDocument/2006/relationships/hyperlink" Target="http://www.sec.gov/cgi-bin/browse-edgar?action=getcompany&amp;CIK=0001802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2026-06-17T15:11:38Z</dcterms:created>
  <dcterms:modified xsi:type="dcterms:W3CDTF">2026-06-17T15:11:38Z</dcterms:modified>
</cp:coreProperties>
</file>